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E6CB" w14:textId="083E7993" w:rsidR="0034266F" w:rsidRPr="000F5EBD" w:rsidRDefault="00CC3984" w:rsidP="0034266F">
      <w:pPr>
        <w:jc w:val="right"/>
        <w:rPr>
          <w:sz w:val="22"/>
          <w:szCs w:val="22"/>
        </w:rPr>
      </w:pPr>
      <w:r>
        <w:rPr>
          <w:b/>
          <w:bCs/>
          <w:noProof/>
          <w:sz w:val="22"/>
          <w:szCs w:val="22"/>
        </w:rPr>
        <w:drawing>
          <wp:inline distT="0" distB="0" distL="0" distR="0" wp14:anchorId="5FCAA5C3" wp14:editId="05C98334">
            <wp:extent cx="1066599" cy="1078640"/>
            <wp:effectExtent l="0" t="0" r="635" b="7620"/>
            <wp:docPr id="11939795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79586" name="Imagen 11939795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6256" cy="1098519"/>
                    </a:xfrm>
                    <a:prstGeom prst="rect">
                      <a:avLst/>
                    </a:prstGeom>
                  </pic:spPr>
                </pic:pic>
              </a:graphicData>
            </a:graphic>
          </wp:inline>
        </w:drawing>
      </w:r>
      <w:r>
        <w:rPr>
          <w:b/>
          <w:bCs/>
          <w:sz w:val="22"/>
          <w:szCs w:val="22"/>
        </w:rPr>
        <w:br/>
      </w:r>
      <w:r w:rsidR="0034266F" w:rsidRPr="000F5EBD">
        <w:rPr>
          <w:b/>
          <w:bCs/>
          <w:sz w:val="22"/>
          <w:szCs w:val="22"/>
        </w:rPr>
        <w:t>Corte Internacional de Justicia Real de la Gente</w:t>
      </w:r>
      <w:r w:rsidR="0034266F" w:rsidRPr="000F5EBD">
        <w:rPr>
          <w:sz w:val="22"/>
          <w:szCs w:val="22"/>
        </w:rPr>
        <w:br/>
      </w:r>
      <w:r w:rsidR="0034266F" w:rsidRPr="000F5EBD">
        <w:rPr>
          <w:b/>
          <w:bCs/>
          <w:sz w:val="22"/>
          <w:szCs w:val="22"/>
        </w:rPr>
        <w:t>Notificación Formal de Invalidez Jurídica y Vulneración de Derechos Fundamentales</w:t>
      </w:r>
    </w:p>
    <w:p w14:paraId="2B1171A4" w14:textId="57415ACC" w:rsidR="0034266F" w:rsidRPr="000F5EBD" w:rsidRDefault="0034266F" w:rsidP="0034266F">
      <w:pPr>
        <w:jc w:val="right"/>
        <w:rPr>
          <w:b/>
          <w:bCs/>
          <w:sz w:val="22"/>
          <w:szCs w:val="22"/>
        </w:rPr>
      </w:pPr>
      <w:r w:rsidRPr="000F5EBD">
        <w:rPr>
          <w:b/>
          <w:bCs/>
          <w:sz w:val="22"/>
          <w:szCs w:val="22"/>
        </w:rPr>
        <w:t>De:</w:t>
      </w:r>
      <w:r w:rsidRPr="000F5EBD">
        <w:rPr>
          <w:sz w:val="22"/>
          <w:szCs w:val="22"/>
        </w:rPr>
        <w:t xml:space="preserve"> Dra. Patricia Carina Funes</w:t>
      </w:r>
      <w:r w:rsidRPr="000F5EBD">
        <w:rPr>
          <w:sz w:val="22"/>
          <w:szCs w:val="22"/>
        </w:rPr>
        <w:br/>
      </w:r>
      <w:r w:rsidRPr="000F5EBD">
        <w:rPr>
          <w:b/>
          <w:bCs/>
          <w:sz w:val="22"/>
          <w:szCs w:val="22"/>
        </w:rPr>
        <w:t>Juez Regente de la Corte Internacional de Justicia Real de la Gente</w:t>
      </w:r>
    </w:p>
    <w:p w14:paraId="36B0DEAD" w14:textId="2F56AC01" w:rsidR="0034266F" w:rsidRPr="000F5EBD" w:rsidRDefault="0034266F" w:rsidP="0034266F">
      <w:pPr>
        <w:rPr>
          <w:sz w:val="22"/>
          <w:szCs w:val="22"/>
        </w:rPr>
      </w:pPr>
      <w:r w:rsidRPr="000F5EBD">
        <w:rPr>
          <w:sz w:val="22"/>
          <w:szCs w:val="22"/>
        </w:rPr>
        <w:br/>
      </w:r>
      <w:r w:rsidRPr="000F5EBD">
        <w:rPr>
          <w:b/>
          <w:bCs/>
          <w:sz w:val="22"/>
          <w:szCs w:val="22"/>
        </w:rPr>
        <w:t>Para:</w:t>
      </w:r>
      <w:r w:rsidRPr="000F5EBD">
        <w:rPr>
          <w:sz w:val="22"/>
          <w:szCs w:val="22"/>
        </w:rPr>
        <w:t xml:space="preserve"> Municipalidad de Luján de Cuyo, Departamento de Salud</w:t>
      </w:r>
      <w:r w:rsidRPr="000F5EBD">
        <w:rPr>
          <w:sz w:val="22"/>
          <w:szCs w:val="22"/>
        </w:rPr>
        <w:br/>
      </w:r>
      <w:r w:rsidRPr="000F5EBD">
        <w:rPr>
          <w:b/>
          <w:bCs/>
          <w:sz w:val="22"/>
          <w:szCs w:val="22"/>
        </w:rPr>
        <w:t>Asunto:</w:t>
      </w:r>
      <w:r w:rsidRPr="000F5EBD">
        <w:rPr>
          <w:sz w:val="22"/>
          <w:szCs w:val="22"/>
        </w:rPr>
        <w:t xml:space="preserve"> Notificación formal por comunicación a familias sobre vacunación basada en normativa inválida</w:t>
      </w:r>
    </w:p>
    <w:p w14:paraId="3A5B6019" w14:textId="77777777" w:rsidR="0034266F" w:rsidRPr="000F5EBD" w:rsidRDefault="0034266F" w:rsidP="0034266F">
      <w:pPr>
        <w:rPr>
          <w:sz w:val="22"/>
          <w:szCs w:val="22"/>
        </w:rPr>
      </w:pPr>
      <w:r w:rsidRPr="000F5EBD">
        <w:rPr>
          <w:b/>
          <w:bCs/>
          <w:sz w:val="22"/>
          <w:szCs w:val="22"/>
        </w:rPr>
        <w:t>Fecha:</w:t>
      </w:r>
      <w:r w:rsidRPr="000F5EBD">
        <w:rPr>
          <w:sz w:val="22"/>
          <w:szCs w:val="22"/>
        </w:rPr>
        <w:t xml:space="preserve"> 12 de mayo de 2026</w:t>
      </w:r>
    </w:p>
    <w:p w14:paraId="5E828356" w14:textId="77777777" w:rsidR="0034266F" w:rsidRPr="000F5EBD" w:rsidRDefault="0034266F" w:rsidP="0034266F">
      <w:pPr>
        <w:rPr>
          <w:sz w:val="22"/>
          <w:szCs w:val="22"/>
        </w:rPr>
      </w:pPr>
      <w:r w:rsidRPr="000F5EBD">
        <w:rPr>
          <w:sz w:val="22"/>
          <w:szCs w:val="22"/>
        </w:rPr>
        <w:t>Estimados representantes del Departamento de Salud de Luján de Cuyo,</w:t>
      </w:r>
    </w:p>
    <w:p w14:paraId="68FE1212" w14:textId="0A871376" w:rsidR="000F5EBD" w:rsidRPr="000F5EBD" w:rsidRDefault="0034266F" w:rsidP="0034266F">
      <w:pPr>
        <w:rPr>
          <w:b/>
          <w:bCs/>
          <w:sz w:val="22"/>
          <w:szCs w:val="22"/>
        </w:rPr>
      </w:pPr>
      <w:r w:rsidRPr="000F5EBD">
        <w:rPr>
          <w:sz w:val="22"/>
          <w:szCs w:val="22"/>
        </w:rPr>
        <w:t xml:space="preserve">En mi carácter de Juez Regente de la </w:t>
      </w:r>
      <w:r w:rsidRPr="000F5EBD">
        <w:rPr>
          <w:b/>
          <w:bCs/>
          <w:sz w:val="22"/>
          <w:szCs w:val="22"/>
        </w:rPr>
        <w:t>Corte Internacional de Justicia Real de la Gente</w:t>
      </w:r>
      <w:r w:rsidRPr="000F5EBD">
        <w:rPr>
          <w:sz w:val="22"/>
          <w:szCs w:val="22"/>
        </w:rPr>
        <w:t xml:space="preserve">, me dirijo a ustedes en relación con la reciente comunicación enviada a las familias de niños nacidos en 2021, en la que se informa sobre la necesidad de completar el calendario de vacunación en un plazo de 30 días, bajo amenaza de elevar informes a "autoridades pertinentes". Según se ha constatado, dicha comunicación se encuentra fundamentada en la </w:t>
      </w:r>
      <w:r w:rsidRPr="000F5EBD">
        <w:rPr>
          <w:b/>
          <w:bCs/>
          <w:sz w:val="22"/>
          <w:szCs w:val="22"/>
        </w:rPr>
        <w:t>Ley 27.491</w:t>
      </w:r>
      <w:r w:rsidRPr="000F5EBD">
        <w:rPr>
          <w:sz w:val="22"/>
          <w:szCs w:val="22"/>
        </w:rPr>
        <w:t xml:space="preserve">, la </w:t>
      </w:r>
      <w:r w:rsidRPr="000F5EBD">
        <w:rPr>
          <w:b/>
          <w:bCs/>
          <w:sz w:val="22"/>
          <w:szCs w:val="22"/>
        </w:rPr>
        <w:t xml:space="preserve">Resolución </w:t>
      </w:r>
      <w:proofErr w:type="spellStart"/>
      <w:r w:rsidRPr="000F5EBD">
        <w:rPr>
          <w:b/>
          <w:bCs/>
          <w:sz w:val="22"/>
          <w:szCs w:val="22"/>
        </w:rPr>
        <w:t>Nº</w:t>
      </w:r>
      <w:proofErr w:type="spellEnd"/>
      <w:r w:rsidRPr="000F5EBD">
        <w:rPr>
          <w:b/>
          <w:bCs/>
          <w:sz w:val="22"/>
          <w:szCs w:val="22"/>
        </w:rPr>
        <w:t xml:space="preserve"> 2572 de Mendoza</w:t>
      </w:r>
      <w:r w:rsidRPr="000F5EBD">
        <w:rPr>
          <w:sz w:val="22"/>
          <w:szCs w:val="22"/>
        </w:rPr>
        <w:t xml:space="preserve">, y el </w:t>
      </w:r>
      <w:r w:rsidRPr="000F5EBD">
        <w:rPr>
          <w:b/>
          <w:bCs/>
          <w:sz w:val="22"/>
          <w:szCs w:val="22"/>
        </w:rPr>
        <w:t>artículo 119 del Código Contravencional de Mendoza</w:t>
      </w:r>
      <w:r w:rsidRPr="000F5EBD">
        <w:rPr>
          <w:sz w:val="22"/>
          <w:szCs w:val="22"/>
        </w:rPr>
        <w:t xml:space="preserve">, normativas que, como se detalla a continuación, </w:t>
      </w:r>
      <w:r w:rsidRPr="000F5EBD">
        <w:rPr>
          <w:b/>
          <w:bCs/>
          <w:sz w:val="22"/>
          <w:szCs w:val="22"/>
        </w:rPr>
        <w:t>carecen de validez jurídica y violan derechos fundamentales consagrados en la Constitución Nacional y tratados internacionales de derechos humanos.</w:t>
      </w:r>
      <w:r w:rsidR="000F5EBD" w:rsidRPr="000F5EBD">
        <w:rPr>
          <w:b/>
          <w:bCs/>
          <w:sz w:val="22"/>
          <w:szCs w:val="22"/>
        </w:rPr>
        <w:br/>
      </w:r>
    </w:p>
    <w:p w14:paraId="22258465" w14:textId="77777777" w:rsidR="0034266F" w:rsidRPr="000F5EBD" w:rsidRDefault="0034266F" w:rsidP="0034266F">
      <w:pPr>
        <w:rPr>
          <w:b/>
          <w:bCs/>
          <w:sz w:val="22"/>
          <w:szCs w:val="22"/>
        </w:rPr>
      </w:pPr>
      <w:r w:rsidRPr="000F5EBD">
        <w:rPr>
          <w:b/>
          <w:bCs/>
          <w:sz w:val="22"/>
          <w:szCs w:val="22"/>
        </w:rPr>
        <w:t>I. Invalidez de la Resolución 2572 y su Fundamento en Normativa Derogada</w:t>
      </w:r>
    </w:p>
    <w:p w14:paraId="1454EBAA" w14:textId="77777777" w:rsidR="0034266F" w:rsidRPr="000F5EBD" w:rsidRDefault="0034266F" w:rsidP="0034266F">
      <w:pPr>
        <w:numPr>
          <w:ilvl w:val="0"/>
          <w:numId w:val="1"/>
        </w:numPr>
        <w:rPr>
          <w:sz w:val="22"/>
          <w:szCs w:val="22"/>
        </w:rPr>
      </w:pPr>
      <w:r w:rsidRPr="000F5EBD">
        <w:rPr>
          <w:b/>
          <w:bCs/>
          <w:sz w:val="22"/>
          <w:szCs w:val="22"/>
        </w:rPr>
        <w:t xml:space="preserve">Resolución </w:t>
      </w:r>
      <w:proofErr w:type="spellStart"/>
      <w:r w:rsidRPr="000F5EBD">
        <w:rPr>
          <w:b/>
          <w:bCs/>
          <w:sz w:val="22"/>
          <w:szCs w:val="22"/>
        </w:rPr>
        <w:t>Nº</w:t>
      </w:r>
      <w:proofErr w:type="spellEnd"/>
      <w:r w:rsidRPr="000F5EBD">
        <w:rPr>
          <w:b/>
          <w:bCs/>
          <w:sz w:val="22"/>
          <w:szCs w:val="22"/>
        </w:rPr>
        <w:t xml:space="preserve"> 2572 (5 de agosto de 2025):</w:t>
      </w:r>
      <w:r w:rsidRPr="000F5EBD">
        <w:rPr>
          <w:sz w:val="22"/>
          <w:szCs w:val="22"/>
        </w:rPr>
        <w:br/>
        <w:t xml:space="preserve">La Resolución 2572, emitida por el Ministerio de Salud de Mendoza, reglamenta el procedimiento de comunicación y denuncias contra padres que no han vacunado a sus hijos, y establece sanciones en base al </w:t>
      </w:r>
      <w:r w:rsidRPr="000F5EBD">
        <w:rPr>
          <w:b/>
          <w:bCs/>
          <w:sz w:val="22"/>
          <w:szCs w:val="22"/>
        </w:rPr>
        <w:t>artículo 119 del Código Contravencional de Mendoza</w:t>
      </w:r>
      <w:r w:rsidRPr="000F5EBD">
        <w:rPr>
          <w:sz w:val="22"/>
          <w:szCs w:val="22"/>
        </w:rPr>
        <w:t>, que tipifica la "omisión de vacunación".</w:t>
      </w:r>
    </w:p>
    <w:p w14:paraId="18E18B7D" w14:textId="77777777" w:rsidR="0034266F" w:rsidRPr="000F5EBD" w:rsidRDefault="0034266F" w:rsidP="0034266F">
      <w:pPr>
        <w:rPr>
          <w:sz w:val="22"/>
          <w:szCs w:val="22"/>
        </w:rPr>
      </w:pPr>
      <w:r w:rsidRPr="000F5EBD">
        <w:rPr>
          <w:sz w:val="22"/>
          <w:szCs w:val="22"/>
        </w:rPr>
        <w:t xml:space="preserve">Sin embargo, tanto el </w:t>
      </w:r>
      <w:r w:rsidRPr="000F5EBD">
        <w:rPr>
          <w:b/>
          <w:bCs/>
          <w:sz w:val="22"/>
          <w:szCs w:val="22"/>
        </w:rPr>
        <w:t>Código Contravencional de Mendoza</w:t>
      </w:r>
      <w:r w:rsidRPr="000F5EBD">
        <w:rPr>
          <w:sz w:val="22"/>
          <w:szCs w:val="22"/>
        </w:rPr>
        <w:t xml:space="preserve"> como la </w:t>
      </w:r>
      <w:r w:rsidRPr="000F5EBD">
        <w:rPr>
          <w:b/>
          <w:bCs/>
          <w:sz w:val="22"/>
          <w:szCs w:val="22"/>
        </w:rPr>
        <w:t>Resolución 2572</w:t>
      </w:r>
      <w:r w:rsidRPr="000F5EBD">
        <w:rPr>
          <w:sz w:val="22"/>
          <w:szCs w:val="22"/>
        </w:rPr>
        <w:t xml:space="preserve"> se sustentan en la </w:t>
      </w:r>
      <w:r w:rsidRPr="000F5EBD">
        <w:rPr>
          <w:b/>
          <w:bCs/>
          <w:sz w:val="22"/>
          <w:szCs w:val="22"/>
        </w:rPr>
        <w:t>Ley 22.909 (Régimen General de Vacunación Obligatoria)</w:t>
      </w:r>
      <w:r w:rsidRPr="000F5EBD">
        <w:rPr>
          <w:sz w:val="22"/>
          <w:szCs w:val="22"/>
        </w:rPr>
        <w:t xml:space="preserve">, una normativa impuesta durante la </w:t>
      </w:r>
      <w:r w:rsidRPr="000F5EBD">
        <w:rPr>
          <w:b/>
          <w:bCs/>
          <w:sz w:val="22"/>
          <w:szCs w:val="22"/>
        </w:rPr>
        <w:t>Dictadura Militar</w:t>
      </w:r>
      <w:r w:rsidRPr="000F5EBD">
        <w:rPr>
          <w:sz w:val="22"/>
          <w:szCs w:val="22"/>
        </w:rPr>
        <w:t xml:space="preserve"> y que fue </w:t>
      </w:r>
      <w:r w:rsidRPr="000F5EBD">
        <w:rPr>
          <w:b/>
          <w:bCs/>
          <w:sz w:val="22"/>
          <w:szCs w:val="22"/>
        </w:rPr>
        <w:t>derogada en el año 2018.</w:t>
      </w:r>
    </w:p>
    <w:p w14:paraId="1FB0ECC4" w14:textId="77777777" w:rsidR="0034266F" w:rsidRDefault="0034266F" w:rsidP="0034266F">
      <w:pPr>
        <w:rPr>
          <w:sz w:val="22"/>
          <w:szCs w:val="22"/>
        </w:rPr>
      </w:pPr>
      <w:r w:rsidRPr="000F5EBD">
        <w:rPr>
          <w:sz w:val="22"/>
          <w:szCs w:val="22"/>
        </w:rPr>
        <w:t xml:space="preserve">Al basarse en una ley que </w:t>
      </w:r>
      <w:r w:rsidRPr="000F5EBD">
        <w:rPr>
          <w:b/>
          <w:bCs/>
          <w:sz w:val="22"/>
          <w:szCs w:val="22"/>
        </w:rPr>
        <w:t>ya no tiene vigencia legal</w:t>
      </w:r>
      <w:r w:rsidRPr="000F5EBD">
        <w:rPr>
          <w:sz w:val="22"/>
          <w:szCs w:val="22"/>
        </w:rPr>
        <w:t xml:space="preserve">, la Resolución 2572 es </w:t>
      </w:r>
      <w:r w:rsidRPr="000F5EBD">
        <w:rPr>
          <w:b/>
          <w:bCs/>
          <w:sz w:val="22"/>
          <w:szCs w:val="22"/>
        </w:rPr>
        <w:t>nula de pleno derecho.</w:t>
      </w:r>
      <w:r w:rsidRPr="000F5EBD">
        <w:rPr>
          <w:sz w:val="22"/>
          <w:szCs w:val="22"/>
        </w:rPr>
        <w:t xml:space="preserve"> Cualquier acto administrativo o judicial que derive de esta resolución carece de validez jurídica y constituye un grave error de aplicación del derecho.</w:t>
      </w:r>
    </w:p>
    <w:p w14:paraId="75FD12E1" w14:textId="77777777" w:rsidR="00FB081D" w:rsidRPr="00FB081D" w:rsidRDefault="00FB081D" w:rsidP="00FB081D">
      <w:pPr>
        <w:rPr>
          <w:sz w:val="22"/>
          <w:szCs w:val="22"/>
        </w:rPr>
      </w:pPr>
      <w:r w:rsidRPr="00FB081D">
        <w:rPr>
          <w:sz w:val="22"/>
          <w:szCs w:val="22"/>
        </w:rPr>
        <w:lastRenderedPageBreak/>
        <w:t xml:space="preserve">El otro fundamento que utiliza el Gobierno de Mendoza para justificar la imposición de multas y/o la detención de padres que no vacunen a sus hijos es la </w:t>
      </w:r>
      <w:r w:rsidRPr="00FB081D">
        <w:rPr>
          <w:b/>
          <w:bCs/>
          <w:sz w:val="22"/>
          <w:szCs w:val="22"/>
        </w:rPr>
        <w:t>Ley 27.491 de vacunación compulsiva y obligatoria.</w:t>
      </w:r>
    </w:p>
    <w:p w14:paraId="08CA3D4C" w14:textId="77777777" w:rsidR="00FB081D" w:rsidRPr="00FB081D" w:rsidRDefault="00FB081D" w:rsidP="00FB081D">
      <w:pPr>
        <w:rPr>
          <w:sz w:val="22"/>
          <w:szCs w:val="22"/>
        </w:rPr>
      </w:pPr>
      <w:r w:rsidRPr="00FB081D">
        <w:rPr>
          <w:sz w:val="22"/>
          <w:szCs w:val="22"/>
        </w:rPr>
        <w:t xml:space="preserve">Sin embargo, es importante destacar que esta ley ha sido declarada </w:t>
      </w:r>
      <w:r w:rsidRPr="00FB081D">
        <w:rPr>
          <w:b/>
          <w:bCs/>
          <w:sz w:val="22"/>
          <w:szCs w:val="22"/>
        </w:rPr>
        <w:t>nula por la Corte Internacional de Justicia Real de la Gente</w:t>
      </w:r>
      <w:r w:rsidRPr="00FB081D">
        <w:rPr>
          <w:sz w:val="22"/>
          <w:szCs w:val="22"/>
        </w:rPr>
        <w:t xml:space="preserve">, al considerarse </w:t>
      </w:r>
      <w:r w:rsidRPr="00FB081D">
        <w:rPr>
          <w:b/>
          <w:bCs/>
          <w:sz w:val="22"/>
          <w:szCs w:val="22"/>
        </w:rPr>
        <w:t>ilegítima</w:t>
      </w:r>
      <w:r w:rsidRPr="00FB081D">
        <w:rPr>
          <w:sz w:val="22"/>
          <w:szCs w:val="22"/>
        </w:rPr>
        <w:t xml:space="preserve"> tanto en el marco del </w:t>
      </w:r>
      <w:r w:rsidRPr="00FB081D">
        <w:rPr>
          <w:b/>
          <w:bCs/>
          <w:sz w:val="22"/>
          <w:szCs w:val="22"/>
        </w:rPr>
        <w:t>derecho nacional como internacional.</w:t>
      </w:r>
      <w:r w:rsidRPr="00FB081D">
        <w:rPr>
          <w:sz w:val="22"/>
          <w:szCs w:val="22"/>
        </w:rPr>
        <w:t xml:space="preserve"> Esta ley vulnera principios fundamentales establecidos en la </w:t>
      </w:r>
      <w:r w:rsidRPr="00FB081D">
        <w:rPr>
          <w:b/>
          <w:bCs/>
          <w:sz w:val="22"/>
          <w:szCs w:val="22"/>
        </w:rPr>
        <w:t>Constitución Nacional</w:t>
      </w:r>
      <w:r w:rsidRPr="00FB081D">
        <w:rPr>
          <w:sz w:val="22"/>
          <w:szCs w:val="22"/>
        </w:rPr>
        <w:t xml:space="preserve"> y en tratados internacionales con jerarquía constitucional, conforme al </w:t>
      </w:r>
      <w:r w:rsidRPr="00FB081D">
        <w:rPr>
          <w:b/>
          <w:bCs/>
          <w:sz w:val="22"/>
          <w:szCs w:val="22"/>
        </w:rPr>
        <w:t>artículo 75, inciso 22 de la Constitución Nacional.</w:t>
      </w:r>
    </w:p>
    <w:p w14:paraId="519E5451" w14:textId="77777777" w:rsidR="00FB081D" w:rsidRPr="00FB081D" w:rsidRDefault="00FB081D" w:rsidP="00FB081D">
      <w:pPr>
        <w:rPr>
          <w:sz w:val="22"/>
          <w:szCs w:val="22"/>
        </w:rPr>
      </w:pPr>
      <w:r w:rsidRPr="00FB081D">
        <w:rPr>
          <w:sz w:val="22"/>
          <w:szCs w:val="22"/>
        </w:rPr>
        <w:t xml:space="preserve">A pesar de ello, el Estado argentino mantiene vigente esta ley ilegítima, que en su </w:t>
      </w:r>
      <w:r w:rsidRPr="00FB081D">
        <w:rPr>
          <w:b/>
          <w:bCs/>
          <w:sz w:val="22"/>
          <w:szCs w:val="22"/>
        </w:rPr>
        <w:t>artículo 29</w:t>
      </w:r>
      <w:r w:rsidRPr="00FB081D">
        <w:rPr>
          <w:sz w:val="22"/>
          <w:szCs w:val="22"/>
        </w:rPr>
        <w:t xml:space="preserve"> establece sanciones como apercibimiento, multa o suspensión </w:t>
      </w:r>
      <w:r w:rsidRPr="00FB081D">
        <w:rPr>
          <w:b/>
          <w:bCs/>
          <w:sz w:val="22"/>
          <w:szCs w:val="22"/>
        </w:rPr>
        <w:t>exclusivamente para los responsables de brindar atención sanitaria</w:t>
      </w:r>
      <w:r w:rsidRPr="00FB081D">
        <w:rPr>
          <w:sz w:val="22"/>
          <w:szCs w:val="22"/>
        </w:rPr>
        <w:t xml:space="preserve"> en caso de que:</w:t>
      </w:r>
    </w:p>
    <w:p w14:paraId="42157ABF" w14:textId="77777777" w:rsidR="00FB081D" w:rsidRPr="00FB081D" w:rsidRDefault="00FB081D" w:rsidP="00FB081D">
      <w:pPr>
        <w:numPr>
          <w:ilvl w:val="0"/>
          <w:numId w:val="5"/>
        </w:numPr>
        <w:rPr>
          <w:sz w:val="22"/>
          <w:szCs w:val="22"/>
        </w:rPr>
      </w:pPr>
      <w:r w:rsidRPr="00FB081D">
        <w:rPr>
          <w:sz w:val="22"/>
          <w:szCs w:val="22"/>
        </w:rPr>
        <w:t>No cumplan con las disposiciones del </w:t>
      </w:r>
      <w:r w:rsidRPr="00FB081D">
        <w:rPr>
          <w:b/>
          <w:bCs/>
          <w:sz w:val="22"/>
          <w:szCs w:val="22"/>
        </w:rPr>
        <w:t>artículo 15</w:t>
      </w:r>
      <w:r w:rsidRPr="00FB081D">
        <w:rPr>
          <w:sz w:val="22"/>
          <w:szCs w:val="22"/>
        </w:rPr>
        <w:t>, que regula las obligaciones de los prestadores de servicios de salud.</w:t>
      </w:r>
    </w:p>
    <w:p w14:paraId="4D12CAA0" w14:textId="77777777" w:rsidR="00FB081D" w:rsidRPr="00FB081D" w:rsidRDefault="00FB081D" w:rsidP="00FB081D">
      <w:pPr>
        <w:numPr>
          <w:ilvl w:val="0"/>
          <w:numId w:val="5"/>
        </w:numPr>
        <w:rPr>
          <w:sz w:val="22"/>
          <w:szCs w:val="22"/>
        </w:rPr>
      </w:pPr>
      <w:r w:rsidRPr="00FB081D">
        <w:rPr>
          <w:sz w:val="22"/>
          <w:szCs w:val="22"/>
        </w:rPr>
        <w:t>Incumplan las disposiciones del </w:t>
      </w:r>
      <w:r w:rsidRPr="00FB081D">
        <w:rPr>
          <w:b/>
          <w:bCs/>
          <w:sz w:val="22"/>
          <w:szCs w:val="22"/>
        </w:rPr>
        <w:t>artículo 20</w:t>
      </w:r>
      <w:r w:rsidRPr="00FB081D">
        <w:rPr>
          <w:sz w:val="22"/>
          <w:szCs w:val="22"/>
        </w:rPr>
        <w:t>, que regula a los efectores de salud encargados de garantizar el cumplimiento del calendario nacional de vacunación.</w:t>
      </w:r>
    </w:p>
    <w:p w14:paraId="64F442C6" w14:textId="77777777" w:rsidR="00FB081D" w:rsidRPr="00FB081D" w:rsidRDefault="00FB081D" w:rsidP="00FB081D">
      <w:pPr>
        <w:numPr>
          <w:ilvl w:val="0"/>
          <w:numId w:val="5"/>
        </w:numPr>
        <w:rPr>
          <w:sz w:val="22"/>
          <w:szCs w:val="22"/>
        </w:rPr>
      </w:pPr>
      <w:r w:rsidRPr="00FB081D">
        <w:rPr>
          <w:sz w:val="22"/>
          <w:szCs w:val="22"/>
        </w:rPr>
        <w:t>Incumplan el </w:t>
      </w:r>
      <w:r w:rsidRPr="00FB081D">
        <w:rPr>
          <w:b/>
          <w:bCs/>
          <w:sz w:val="22"/>
          <w:szCs w:val="22"/>
        </w:rPr>
        <w:t>artículo 22</w:t>
      </w:r>
      <w:r w:rsidRPr="00FB081D">
        <w:rPr>
          <w:sz w:val="22"/>
          <w:szCs w:val="22"/>
        </w:rPr>
        <w:t>, que establece que la vacunación solo puede realizarse en establecimientos habilitados.</w:t>
      </w:r>
    </w:p>
    <w:p w14:paraId="09B2A04B" w14:textId="77777777" w:rsidR="00FB081D" w:rsidRPr="00FB081D" w:rsidRDefault="00FB081D" w:rsidP="00FB081D">
      <w:pPr>
        <w:rPr>
          <w:sz w:val="22"/>
          <w:szCs w:val="22"/>
        </w:rPr>
      </w:pPr>
      <w:r w:rsidRPr="00FB081D">
        <w:rPr>
          <w:sz w:val="22"/>
          <w:szCs w:val="22"/>
        </w:rPr>
        <w:t xml:space="preserve">En ningún momento la Ley 27.491 establece sanciones, multas o detenciones dirigidas a </w:t>
      </w:r>
      <w:r w:rsidRPr="00FB081D">
        <w:rPr>
          <w:b/>
          <w:bCs/>
          <w:sz w:val="22"/>
          <w:szCs w:val="22"/>
        </w:rPr>
        <w:t>padres, tutores o encargados de niños.</w:t>
      </w:r>
      <w:r w:rsidRPr="00FB081D">
        <w:rPr>
          <w:sz w:val="22"/>
          <w:szCs w:val="22"/>
        </w:rPr>
        <w:t xml:space="preserve"> Por lo tanto, la </w:t>
      </w:r>
      <w:r w:rsidRPr="00FB081D">
        <w:rPr>
          <w:b/>
          <w:bCs/>
          <w:sz w:val="22"/>
          <w:szCs w:val="22"/>
        </w:rPr>
        <w:t>detención de un padre o tutor por no vacunar a su hijo carece de sustento legal alguno en esta normativa</w:t>
      </w:r>
      <w:r w:rsidRPr="00FB081D">
        <w:rPr>
          <w:sz w:val="22"/>
          <w:szCs w:val="22"/>
        </w:rPr>
        <w:t xml:space="preserve"> y constituye una </w:t>
      </w:r>
      <w:r w:rsidRPr="00FB081D">
        <w:rPr>
          <w:b/>
          <w:bCs/>
          <w:sz w:val="22"/>
          <w:szCs w:val="22"/>
        </w:rPr>
        <w:t>grave violación a los derechos fundamentales de las personas,</w:t>
      </w:r>
      <w:r w:rsidRPr="00FB081D">
        <w:rPr>
          <w:sz w:val="22"/>
          <w:szCs w:val="22"/>
        </w:rPr>
        <w:t xml:space="preserve"> en particular al derecho a la </w:t>
      </w:r>
      <w:r w:rsidRPr="00FB081D">
        <w:rPr>
          <w:b/>
          <w:bCs/>
          <w:sz w:val="22"/>
          <w:szCs w:val="22"/>
        </w:rPr>
        <w:t>libertad personal y a la autonomía de los padres para decidir sobre la salud de sus hijos.</w:t>
      </w:r>
    </w:p>
    <w:p w14:paraId="0408C7C7" w14:textId="5E7C8CD1" w:rsidR="00FB081D" w:rsidRPr="000F5EBD" w:rsidRDefault="00FB081D" w:rsidP="0034266F">
      <w:pPr>
        <w:rPr>
          <w:sz w:val="22"/>
          <w:szCs w:val="22"/>
        </w:rPr>
      </w:pPr>
      <w:r w:rsidRPr="00FB081D">
        <w:rPr>
          <w:sz w:val="22"/>
          <w:szCs w:val="22"/>
        </w:rPr>
        <w:t xml:space="preserve">Por lo tanto, cualquier acto que implique la </w:t>
      </w:r>
      <w:r w:rsidRPr="00FB081D">
        <w:rPr>
          <w:b/>
          <w:bCs/>
          <w:sz w:val="22"/>
          <w:szCs w:val="22"/>
        </w:rPr>
        <w:t>detención o sanción de un padre o tutor por no vacunar a su hijo</w:t>
      </w:r>
      <w:r w:rsidRPr="00FB081D">
        <w:rPr>
          <w:sz w:val="22"/>
          <w:szCs w:val="22"/>
        </w:rPr>
        <w:t xml:space="preserve"> no solo es contrario al espíritu y la letra de la Ley 27.491, sino que también constituye una </w:t>
      </w:r>
      <w:r w:rsidRPr="00FB081D">
        <w:rPr>
          <w:b/>
          <w:bCs/>
          <w:sz w:val="22"/>
          <w:szCs w:val="22"/>
        </w:rPr>
        <w:t>privación ilegal de la libertad (artículo 141 del Código Penal)</w:t>
      </w:r>
      <w:r w:rsidRPr="00FB081D">
        <w:rPr>
          <w:sz w:val="22"/>
          <w:szCs w:val="22"/>
        </w:rPr>
        <w:t xml:space="preserve">, además de un </w:t>
      </w:r>
      <w:r w:rsidRPr="00FB081D">
        <w:rPr>
          <w:b/>
          <w:bCs/>
          <w:sz w:val="22"/>
          <w:szCs w:val="22"/>
        </w:rPr>
        <w:t>abuso de autoridad (artículos 248 y 249 del Código Penal).</w:t>
      </w:r>
    </w:p>
    <w:p w14:paraId="6177D113" w14:textId="77777777" w:rsidR="0034266F" w:rsidRPr="000F5EBD" w:rsidRDefault="0034266F" w:rsidP="0034266F">
      <w:pPr>
        <w:numPr>
          <w:ilvl w:val="0"/>
          <w:numId w:val="1"/>
        </w:numPr>
        <w:rPr>
          <w:sz w:val="22"/>
          <w:szCs w:val="22"/>
        </w:rPr>
      </w:pPr>
      <w:r w:rsidRPr="000F5EBD">
        <w:rPr>
          <w:b/>
          <w:bCs/>
          <w:sz w:val="22"/>
          <w:szCs w:val="22"/>
        </w:rPr>
        <w:t>Violaciones a derechos fundamentales:</w:t>
      </w:r>
      <w:r w:rsidRPr="000F5EBD">
        <w:rPr>
          <w:sz w:val="22"/>
          <w:szCs w:val="22"/>
        </w:rPr>
        <w:br/>
        <w:t xml:space="preserve">Tanto la Resolución 2572 como el artículo 119 del Código Contravencional de Mendoza vulneran derechos fundamentales reconocidos por la </w:t>
      </w:r>
      <w:r w:rsidRPr="000F5EBD">
        <w:rPr>
          <w:b/>
          <w:bCs/>
          <w:sz w:val="22"/>
          <w:szCs w:val="22"/>
        </w:rPr>
        <w:t>Constitución Nacional</w:t>
      </w:r>
      <w:r w:rsidRPr="000F5EBD">
        <w:rPr>
          <w:sz w:val="22"/>
          <w:szCs w:val="22"/>
        </w:rPr>
        <w:t xml:space="preserve"> y los tratados internacionales con jerarquía constitucional (artículo 75, inciso 22 de la Constitución Nacional). En particular:</w:t>
      </w:r>
    </w:p>
    <w:p w14:paraId="4C9CB6BE" w14:textId="77777777" w:rsidR="0034266F" w:rsidRPr="000F5EBD" w:rsidRDefault="0034266F" w:rsidP="0034266F">
      <w:pPr>
        <w:numPr>
          <w:ilvl w:val="1"/>
          <w:numId w:val="1"/>
        </w:numPr>
        <w:rPr>
          <w:sz w:val="22"/>
          <w:szCs w:val="22"/>
        </w:rPr>
      </w:pPr>
      <w:r w:rsidRPr="000F5EBD">
        <w:rPr>
          <w:b/>
          <w:bCs/>
          <w:sz w:val="22"/>
          <w:szCs w:val="22"/>
        </w:rPr>
        <w:t>Consentimiento informado:</w:t>
      </w:r>
      <w:r w:rsidRPr="000F5EBD">
        <w:rPr>
          <w:sz w:val="22"/>
          <w:szCs w:val="22"/>
        </w:rPr>
        <w:t> La imposición de la vacunación obligatoria sin consentimiento informado viola el </w:t>
      </w:r>
      <w:r w:rsidRPr="000F5EBD">
        <w:rPr>
          <w:b/>
          <w:bCs/>
          <w:sz w:val="22"/>
          <w:szCs w:val="22"/>
        </w:rPr>
        <w:t>artículo 19 de la Constitución Nacional</w:t>
      </w:r>
      <w:r w:rsidRPr="000F5EBD">
        <w:rPr>
          <w:sz w:val="22"/>
          <w:szCs w:val="22"/>
        </w:rPr>
        <w:t>, la </w:t>
      </w:r>
      <w:r w:rsidRPr="000F5EBD">
        <w:rPr>
          <w:b/>
          <w:bCs/>
          <w:sz w:val="22"/>
          <w:szCs w:val="22"/>
        </w:rPr>
        <w:t>Ley 26.529 de Derechos del Paciente</w:t>
      </w:r>
      <w:r w:rsidRPr="000F5EBD">
        <w:rPr>
          <w:sz w:val="22"/>
          <w:szCs w:val="22"/>
        </w:rPr>
        <w:t>, y los artículos 5 y 11 de la </w:t>
      </w:r>
      <w:r w:rsidRPr="000F5EBD">
        <w:rPr>
          <w:b/>
          <w:bCs/>
          <w:sz w:val="22"/>
          <w:szCs w:val="22"/>
        </w:rPr>
        <w:t>Convención Americana sobre Derechos Humanos</w:t>
      </w:r>
      <w:r w:rsidRPr="000F5EBD">
        <w:rPr>
          <w:sz w:val="22"/>
          <w:szCs w:val="22"/>
        </w:rPr>
        <w:t>.</w:t>
      </w:r>
    </w:p>
    <w:p w14:paraId="331B85FE" w14:textId="77777777" w:rsidR="0034266F" w:rsidRPr="000F5EBD" w:rsidRDefault="0034266F" w:rsidP="0034266F">
      <w:pPr>
        <w:numPr>
          <w:ilvl w:val="1"/>
          <w:numId w:val="1"/>
        </w:numPr>
        <w:rPr>
          <w:sz w:val="22"/>
          <w:szCs w:val="22"/>
        </w:rPr>
      </w:pPr>
      <w:r w:rsidRPr="000F5EBD">
        <w:rPr>
          <w:b/>
          <w:bCs/>
          <w:sz w:val="22"/>
          <w:szCs w:val="22"/>
        </w:rPr>
        <w:t>Derechos parentales:</w:t>
      </w:r>
      <w:r w:rsidRPr="000F5EBD">
        <w:rPr>
          <w:sz w:val="22"/>
          <w:szCs w:val="22"/>
        </w:rPr>
        <w:t> La normativa contradice los derechos de los padres a decidir sobre la salud de sus hijos, protegidos por el </w:t>
      </w:r>
      <w:r w:rsidRPr="000F5EBD">
        <w:rPr>
          <w:b/>
          <w:bCs/>
          <w:sz w:val="22"/>
          <w:szCs w:val="22"/>
        </w:rPr>
        <w:t>artículo 14 bis de la Constitución Nacional</w:t>
      </w:r>
      <w:r w:rsidRPr="000F5EBD">
        <w:rPr>
          <w:sz w:val="22"/>
          <w:szCs w:val="22"/>
        </w:rPr>
        <w:t> y la </w:t>
      </w:r>
      <w:r w:rsidRPr="000F5EBD">
        <w:rPr>
          <w:b/>
          <w:bCs/>
          <w:sz w:val="22"/>
          <w:szCs w:val="22"/>
        </w:rPr>
        <w:t>Convención sobre los Derechos del Niño</w:t>
      </w:r>
      <w:r w:rsidRPr="000F5EBD">
        <w:rPr>
          <w:sz w:val="22"/>
          <w:szCs w:val="22"/>
        </w:rPr>
        <w:t> (artículos 5 y 18).</w:t>
      </w:r>
    </w:p>
    <w:p w14:paraId="41F03B7D" w14:textId="77777777" w:rsidR="0034266F" w:rsidRPr="000F5EBD" w:rsidRDefault="0034266F" w:rsidP="0034266F">
      <w:pPr>
        <w:numPr>
          <w:ilvl w:val="1"/>
          <w:numId w:val="1"/>
        </w:numPr>
        <w:rPr>
          <w:sz w:val="22"/>
          <w:szCs w:val="22"/>
        </w:rPr>
      </w:pPr>
      <w:r w:rsidRPr="000F5EBD">
        <w:rPr>
          <w:b/>
          <w:bCs/>
          <w:sz w:val="22"/>
          <w:szCs w:val="22"/>
        </w:rPr>
        <w:lastRenderedPageBreak/>
        <w:t>Coacción:</w:t>
      </w:r>
      <w:r w:rsidRPr="000F5EBD">
        <w:rPr>
          <w:sz w:val="22"/>
          <w:szCs w:val="22"/>
        </w:rPr>
        <w:t> La amenaza de sanciones económicas y denuncias penales contra los padres constituye un acto de coacción, prohibido por el </w:t>
      </w:r>
      <w:r w:rsidRPr="000F5EBD">
        <w:rPr>
          <w:b/>
          <w:bCs/>
          <w:sz w:val="22"/>
          <w:szCs w:val="22"/>
        </w:rPr>
        <w:t>artículo 149 bis del Código Penal.</w:t>
      </w:r>
    </w:p>
    <w:p w14:paraId="31B15A0E" w14:textId="77777777" w:rsidR="000F5EBD" w:rsidRPr="000F5EBD" w:rsidRDefault="000F5EBD" w:rsidP="000F5EBD">
      <w:pPr>
        <w:ind w:left="1440"/>
        <w:rPr>
          <w:sz w:val="22"/>
          <w:szCs w:val="22"/>
        </w:rPr>
      </w:pPr>
    </w:p>
    <w:p w14:paraId="3826F890" w14:textId="77777777" w:rsidR="0034266F" w:rsidRPr="000F5EBD" w:rsidRDefault="0034266F" w:rsidP="0034266F">
      <w:pPr>
        <w:numPr>
          <w:ilvl w:val="0"/>
          <w:numId w:val="1"/>
        </w:numPr>
        <w:rPr>
          <w:sz w:val="22"/>
          <w:szCs w:val="22"/>
        </w:rPr>
      </w:pPr>
      <w:r w:rsidRPr="000F5EBD">
        <w:rPr>
          <w:b/>
          <w:bCs/>
          <w:sz w:val="22"/>
          <w:szCs w:val="22"/>
        </w:rPr>
        <w:t>Responsabilidad de los jueces que dictaron sentencias basadas en esta normativa inválida:</w:t>
      </w:r>
      <w:r w:rsidRPr="000F5EBD">
        <w:rPr>
          <w:sz w:val="22"/>
          <w:szCs w:val="22"/>
        </w:rPr>
        <w:br/>
        <w:t xml:space="preserve">Los jueces que hayan dictado sentencias o hayan avalado sanciones administrativas o penales basadas en la Ley 27.491, la Resolución 2572, el artículo 119 del Código Contravencional de Mendoza o la derogada Ley 22.909, han incurrido en </w:t>
      </w:r>
      <w:r w:rsidRPr="000F5EBD">
        <w:rPr>
          <w:b/>
          <w:bCs/>
          <w:sz w:val="22"/>
          <w:szCs w:val="22"/>
        </w:rPr>
        <w:t>graves violaciones al derecho</w:t>
      </w:r>
      <w:r w:rsidRPr="000F5EBD">
        <w:rPr>
          <w:sz w:val="22"/>
          <w:szCs w:val="22"/>
        </w:rPr>
        <w:t xml:space="preserve"> y podrían enfrentar las siguientes responsabilidades penales:</w:t>
      </w:r>
    </w:p>
    <w:p w14:paraId="4A1A7119" w14:textId="77777777" w:rsidR="0034266F" w:rsidRPr="000F5EBD" w:rsidRDefault="0034266F" w:rsidP="0034266F">
      <w:pPr>
        <w:numPr>
          <w:ilvl w:val="1"/>
          <w:numId w:val="1"/>
        </w:numPr>
        <w:rPr>
          <w:sz w:val="22"/>
          <w:szCs w:val="22"/>
        </w:rPr>
      </w:pPr>
      <w:r w:rsidRPr="000F5EBD">
        <w:rPr>
          <w:b/>
          <w:bCs/>
          <w:sz w:val="22"/>
          <w:szCs w:val="22"/>
        </w:rPr>
        <w:t>Prevaricato (artículo 269 del Código Penal):</w:t>
      </w:r>
      <w:r w:rsidRPr="000F5EBD">
        <w:rPr>
          <w:sz w:val="22"/>
          <w:szCs w:val="22"/>
        </w:rPr>
        <w:t> Dictar resoluciones contrarias a la ley, especialmente si se basan en normativa derogada o inconstitucional.</w:t>
      </w:r>
    </w:p>
    <w:p w14:paraId="73719C2D" w14:textId="77777777" w:rsidR="0034266F" w:rsidRPr="000F5EBD" w:rsidRDefault="0034266F" w:rsidP="0034266F">
      <w:pPr>
        <w:numPr>
          <w:ilvl w:val="1"/>
          <w:numId w:val="1"/>
        </w:numPr>
        <w:rPr>
          <w:sz w:val="22"/>
          <w:szCs w:val="22"/>
        </w:rPr>
      </w:pPr>
      <w:r w:rsidRPr="000F5EBD">
        <w:rPr>
          <w:b/>
          <w:bCs/>
          <w:sz w:val="22"/>
          <w:szCs w:val="22"/>
        </w:rPr>
        <w:t>Abuso de autoridad y violación de los deberes de funcionario público (artículos 248 y 249 del Código Penal):</w:t>
      </w:r>
      <w:r w:rsidRPr="000F5EBD">
        <w:rPr>
          <w:sz w:val="22"/>
          <w:szCs w:val="22"/>
        </w:rPr>
        <w:t> Por aplicar normativas que vulneren derechos fundamentales y que carezcan de validez jurídica.</w:t>
      </w:r>
    </w:p>
    <w:p w14:paraId="68817137" w14:textId="77777777" w:rsidR="0034266F" w:rsidRPr="000F5EBD" w:rsidRDefault="0034266F" w:rsidP="0034266F">
      <w:pPr>
        <w:numPr>
          <w:ilvl w:val="1"/>
          <w:numId w:val="1"/>
        </w:numPr>
        <w:rPr>
          <w:sz w:val="22"/>
          <w:szCs w:val="22"/>
        </w:rPr>
      </w:pPr>
      <w:r w:rsidRPr="000F5EBD">
        <w:rPr>
          <w:b/>
          <w:bCs/>
          <w:sz w:val="22"/>
          <w:szCs w:val="22"/>
        </w:rPr>
        <w:t>Falsedad ideológica (artículo 293 del Código Penal):</w:t>
      </w:r>
      <w:r w:rsidRPr="000F5EBD">
        <w:rPr>
          <w:sz w:val="22"/>
          <w:szCs w:val="22"/>
        </w:rPr>
        <w:t> Por justificar actos administrativos o judiciales en base a leyes derogadas o inválidas.</w:t>
      </w:r>
    </w:p>
    <w:p w14:paraId="0FB15A67" w14:textId="71B3D581" w:rsidR="0034266F" w:rsidRPr="000F5EBD" w:rsidRDefault="0034266F" w:rsidP="0034266F">
      <w:pPr>
        <w:rPr>
          <w:sz w:val="22"/>
          <w:szCs w:val="22"/>
        </w:rPr>
      </w:pPr>
      <w:r w:rsidRPr="000F5EBD">
        <w:rPr>
          <w:sz w:val="22"/>
          <w:szCs w:val="22"/>
        </w:rPr>
        <w:t xml:space="preserve">Se recuerda que </w:t>
      </w:r>
      <w:r w:rsidRPr="000F5EBD">
        <w:rPr>
          <w:b/>
          <w:bCs/>
          <w:sz w:val="22"/>
          <w:szCs w:val="22"/>
        </w:rPr>
        <w:t>el Estado no puede asumir la responsabilidad penal por los delitos cometidos por sus funcionarios públicos, incluyendo jueces.</w:t>
      </w:r>
      <w:r w:rsidRPr="000F5EBD">
        <w:rPr>
          <w:sz w:val="22"/>
          <w:szCs w:val="22"/>
        </w:rPr>
        <w:t xml:space="preserve"> Los magistrados que hayan dictado sentencias basadas en normativa inválida serán </w:t>
      </w:r>
      <w:r w:rsidRPr="000F5EBD">
        <w:rPr>
          <w:b/>
          <w:bCs/>
          <w:sz w:val="22"/>
          <w:szCs w:val="22"/>
        </w:rPr>
        <w:t>personalmente responsables</w:t>
      </w:r>
      <w:r w:rsidRPr="000F5EBD">
        <w:rPr>
          <w:sz w:val="22"/>
          <w:szCs w:val="22"/>
        </w:rPr>
        <w:t xml:space="preserve"> por sus actos, independientemente de su rango o jerarquía.</w:t>
      </w:r>
      <w:r w:rsidR="000F5EBD" w:rsidRPr="000F5EBD">
        <w:rPr>
          <w:sz w:val="22"/>
          <w:szCs w:val="22"/>
        </w:rPr>
        <w:br/>
      </w:r>
      <w:r w:rsidR="000F5EBD" w:rsidRPr="000F5EBD">
        <w:rPr>
          <w:sz w:val="22"/>
          <w:szCs w:val="22"/>
        </w:rPr>
        <w:br/>
      </w:r>
      <w:r w:rsidRPr="000F5EBD">
        <w:rPr>
          <w:b/>
          <w:bCs/>
          <w:sz w:val="22"/>
          <w:szCs w:val="22"/>
        </w:rPr>
        <w:t>II. Requerimientos Formales</w:t>
      </w:r>
    </w:p>
    <w:p w14:paraId="21E5E6A7" w14:textId="77777777" w:rsidR="0034266F" w:rsidRPr="000F5EBD" w:rsidRDefault="0034266F" w:rsidP="0034266F">
      <w:pPr>
        <w:rPr>
          <w:sz w:val="22"/>
          <w:szCs w:val="22"/>
        </w:rPr>
      </w:pPr>
      <w:r w:rsidRPr="000F5EBD">
        <w:rPr>
          <w:sz w:val="22"/>
          <w:szCs w:val="22"/>
        </w:rPr>
        <w:t xml:space="preserve">En virtud de lo expuesto, la </w:t>
      </w:r>
      <w:r w:rsidRPr="000F5EBD">
        <w:rPr>
          <w:b/>
          <w:bCs/>
          <w:sz w:val="22"/>
          <w:szCs w:val="22"/>
        </w:rPr>
        <w:t>Corte Internacional de Justicia Real de la Gente</w:t>
      </w:r>
      <w:r w:rsidRPr="000F5EBD">
        <w:rPr>
          <w:sz w:val="22"/>
          <w:szCs w:val="22"/>
        </w:rPr>
        <w:t xml:space="preserve"> solicita a la Municipalidad de Luján de Cuyo y a su Departamento de Salud que:</w:t>
      </w:r>
    </w:p>
    <w:p w14:paraId="0BCE6837" w14:textId="77777777" w:rsidR="0034266F" w:rsidRPr="000F5EBD" w:rsidRDefault="0034266F" w:rsidP="0034266F">
      <w:pPr>
        <w:numPr>
          <w:ilvl w:val="0"/>
          <w:numId w:val="2"/>
        </w:numPr>
        <w:rPr>
          <w:sz w:val="22"/>
          <w:szCs w:val="22"/>
        </w:rPr>
      </w:pPr>
      <w:r w:rsidRPr="000F5EBD">
        <w:rPr>
          <w:b/>
          <w:bCs/>
          <w:sz w:val="22"/>
          <w:szCs w:val="22"/>
        </w:rPr>
        <w:t xml:space="preserve">Suspendan de inmediato la aplicación de la Resolución </w:t>
      </w:r>
      <w:proofErr w:type="spellStart"/>
      <w:r w:rsidRPr="000F5EBD">
        <w:rPr>
          <w:b/>
          <w:bCs/>
          <w:sz w:val="22"/>
          <w:szCs w:val="22"/>
        </w:rPr>
        <w:t>Nº</w:t>
      </w:r>
      <w:proofErr w:type="spellEnd"/>
      <w:r w:rsidRPr="000F5EBD">
        <w:rPr>
          <w:b/>
          <w:bCs/>
          <w:sz w:val="22"/>
          <w:szCs w:val="22"/>
        </w:rPr>
        <w:t xml:space="preserve"> 2572 y cualquier acto administrativo relacionado con la Ley 27.491, el artículo 119 del Código Contravencional de Mendoza, o la derogada Ley 22.909.</w:t>
      </w:r>
    </w:p>
    <w:p w14:paraId="0880CDC4" w14:textId="77777777" w:rsidR="0034266F" w:rsidRPr="000F5EBD" w:rsidRDefault="0034266F" w:rsidP="0034266F">
      <w:pPr>
        <w:numPr>
          <w:ilvl w:val="0"/>
          <w:numId w:val="2"/>
        </w:numPr>
        <w:rPr>
          <w:sz w:val="22"/>
          <w:szCs w:val="22"/>
        </w:rPr>
      </w:pPr>
      <w:r w:rsidRPr="000F5EBD">
        <w:rPr>
          <w:b/>
          <w:bCs/>
          <w:sz w:val="22"/>
          <w:szCs w:val="22"/>
        </w:rPr>
        <w:t>Se emita una comunicación oficial de rectificación</w:t>
      </w:r>
      <w:r w:rsidRPr="000F5EBD">
        <w:rPr>
          <w:sz w:val="22"/>
          <w:szCs w:val="22"/>
        </w:rPr>
        <w:t> dirigida a las instituciones educativas del departamento, aclarando que no están facultadas para exigir la presentación de libretas de vacunación, imponer plazos o amenazar con sanciones a los progenitores que no cumplan con dichas exigencias.</w:t>
      </w:r>
    </w:p>
    <w:p w14:paraId="50628C21" w14:textId="77777777" w:rsidR="0034266F" w:rsidRPr="000F5EBD" w:rsidRDefault="0034266F" w:rsidP="0034266F">
      <w:pPr>
        <w:numPr>
          <w:ilvl w:val="0"/>
          <w:numId w:val="2"/>
        </w:numPr>
        <w:rPr>
          <w:sz w:val="22"/>
          <w:szCs w:val="22"/>
        </w:rPr>
      </w:pPr>
      <w:r w:rsidRPr="000F5EBD">
        <w:rPr>
          <w:b/>
          <w:bCs/>
          <w:sz w:val="22"/>
          <w:szCs w:val="22"/>
        </w:rPr>
        <w:t>Se garantice el respeto irrestricto a los derechos fundamentales de los ciudadanos,</w:t>
      </w:r>
      <w:r w:rsidRPr="000F5EBD">
        <w:rPr>
          <w:sz w:val="22"/>
          <w:szCs w:val="22"/>
        </w:rPr>
        <w:t> en especial el consentimiento informado, los derechos parentales y la protección de datos personales, conforme a la </w:t>
      </w:r>
      <w:r w:rsidRPr="000F5EBD">
        <w:rPr>
          <w:b/>
          <w:bCs/>
          <w:sz w:val="22"/>
          <w:szCs w:val="22"/>
        </w:rPr>
        <w:t>Constitución Nacional</w:t>
      </w:r>
      <w:r w:rsidRPr="000F5EBD">
        <w:rPr>
          <w:sz w:val="22"/>
          <w:szCs w:val="22"/>
        </w:rPr>
        <w:t>, los tratados internacionales y las leyes vigentes.</w:t>
      </w:r>
    </w:p>
    <w:p w14:paraId="66CC29D5" w14:textId="1B12A728" w:rsidR="0034266F" w:rsidRPr="000F5EBD" w:rsidRDefault="0034266F" w:rsidP="0034266F">
      <w:pPr>
        <w:numPr>
          <w:ilvl w:val="0"/>
          <w:numId w:val="2"/>
        </w:numPr>
        <w:rPr>
          <w:sz w:val="22"/>
          <w:szCs w:val="22"/>
        </w:rPr>
      </w:pPr>
      <w:r w:rsidRPr="000F5EBD">
        <w:rPr>
          <w:b/>
          <w:bCs/>
          <w:sz w:val="22"/>
          <w:szCs w:val="22"/>
        </w:rPr>
        <w:lastRenderedPageBreak/>
        <w:t>Se abra una investigación administrativa y judicial</w:t>
      </w:r>
      <w:r w:rsidRPr="000F5EBD">
        <w:rPr>
          <w:sz w:val="22"/>
          <w:szCs w:val="22"/>
        </w:rPr>
        <w:t> para determinar las responsabilidades de los funcionarios y jueces que avalaron la emisión, aplicación y sentencias basadas en normativas derogadas o inconstitucionales, y que se inicien las acciones legales correspondientes.</w:t>
      </w:r>
      <w:r w:rsidR="000F5EBD" w:rsidRPr="000F5EBD">
        <w:rPr>
          <w:sz w:val="22"/>
          <w:szCs w:val="22"/>
        </w:rPr>
        <w:br/>
      </w:r>
    </w:p>
    <w:p w14:paraId="416DC74A" w14:textId="77777777" w:rsidR="0034266F" w:rsidRPr="000F5EBD" w:rsidRDefault="0034266F" w:rsidP="0034266F">
      <w:pPr>
        <w:rPr>
          <w:b/>
          <w:bCs/>
          <w:sz w:val="22"/>
          <w:szCs w:val="22"/>
        </w:rPr>
      </w:pPr>
      <w:r w:rsidRPr="000F5EBD">
        <w:rPr>
          <w:b/>
          <w:bCs/>
          <w:sz w:val="22"/>
          <w:szCs w:val="22"/>
        </w:rPr>
        <w:t>III. Advertencia de Responsabilidad Individual</w:t>
      </w:r>
    </w:p>
    <w:p w14:paraId="2B8345D7" w14:textId="77777777" w:rsidR="0034266F" w:rsidRPr="000F5EBD" w:rsidRDefault="0034266F" w:rsidP="0034266F">
      <w:pPr>
        <w:rPr>
          <w:sz w:val="22"/>
          <w:szCs w:val="22"/>
        </w:rPr>
      </w:pPr>
      <w:r w:rsidRPr="000F5EBD">
        <w:rPr>
          <w:sz w:val="22"/>
          <w:szCs w:val="22"/>
        </w:rPr>
        <w:t xml:space="preserve">Se reitera que cualquier funcionario público, incluyendo jueces, que participe en la emisión, validación o aplicación de normativas que vulneren derechos fundamentales será </w:t>
      </w:r>
      <w:r w:rsidRPr="000F5EBD">
        <w:rPr>
          <w:b/>
          <w:bCs/>
          <w:sz w:val="22"/>
          <w:szCs w:val="22"/>
        </w:rPr>
        <w:t>personalmente responsable</w:t>
      </w:r>
      <w:r w:rsidRPr="000F5EBD">
        <w:rPr>
          <w:sz w:val="22"/>
          <w:szCs w:val="22"/>
        </w:rPr>
        <w:t xml:space="preserve"> por sus actos u omisiones. La </w:t>
      </w:r>
      <w:r w:rsidRPr="000F5EBD">
        <w:rPr>
          <w:b/>
          <w:bCs/>
          <w:sz w:val="22"/>
          <w:szCs w:val="22"/>
        </w:rPr>
        <w:t>irregularidad en el ejercicio de la función pública</w:t>
      </w:r>
      <w:r w:rsidRPr="000F5EBD">
        <w:rPr>
          <w:sz w:val="22"/>
          <w:szCs w:val="22"/>
        </w:rPr>
        <w:t>, especialmente cuando se basa en normativa derogada o inválida, constituye un grave incumplimiento de los deberes de funcionario público y puede configurar los siguientes delitos:</w:t>
      </w:r>
    </w:p>
    <w:p w14:paraId="661B086B" w14:textId="77777777" w:rsidR="0034266F" w:rsidRPr="000F5EBD" w:rsidRDefault="0034266F" w:rsidP="0034266F">
      <w:pPr>
        <w:numPr>
          <w:ilvl w:val="0"/>
          <w:numId w:val="3"/>
        </w:numPr>
        <w:rPr>
          <w:sz w:val="22"/>
          <w:szCs w:val="22"/>
        </w:rPr>
      </w:pPr>
      <w:r w:rsidRPr="000F5EBD">
        <w:rPr>
          <w:b/>
          <w:bCs/>
          <w:sz w:val="22"/>
          <w:szCs w:val="22"/>
        </w:rPr>
        <w:t>Prevaricato (artículo 269 del Código Penal):</w:t>
      </w:r>
      <w:r w:rsidRPr="000F5EBD">
        <w:rPr>
          <w:sz w:val="22"/>
          <w:szCs w:val="22"/>
        </w:rPr>
        <w:t> Dictar resoluciones contrarias a la ley.</w:t>
      </w:r>
    </w:p>
    <w:p w14:paraId="361EDD5E" w14:textId="77777777" w:rsidR="0034266F" w:rsidRPr="000F5EBD" w:rsidRDefault="0034266F" w:rsidP="0034266F">
      <w:pPr>
        <w:numPr>
          <w:ilvl w:val="0"/>
          <w:numId w:val="3"/>
        </w:numPr>
        <w:rPr>
          <w:sz w:val="22"/>
          <w:szCs w:val="22"/>
        </w:rPr>
      </w:pPr>
      <w:r w:rsidRPr="000F5EBD">
        <w:rPr>
          <w:b/>
          <w:bCs/>
          <w:sz w:val="22"/>
          <w:szCs w:val="22"/>
        </w:rPr>
        <w:t>Abuso de autoridad (artículos 248 y 249 del Código Penal):</w:t>
      </w:r>
      <w:r w:rsidRPr="000F5EBD">
        <w:rPr>
          <w:sz w:val="22"/>
          <w:szCs w:val="22"/>
        </w:rPr>
        <w:t> Imponer normativas o sanciones que vulneren derechos fundamentales.</w:t>
      </w:r>
    </w:p>
    <w:p w14:paraId="591F3996" w14:textId="77777777" w:rsidR="0034266F" w:rsidRPr="000F5EBD" w:rsidRDefault="0034266F" w:rsidP="0034266F">
      <w:pPr>
        <w:numPr>
          <w:ilvl w:val="0"/>
          <w:numId w:val="3"/>
        </w:numPr>
        <w:rPr>
          <w:sz w:val="22"/>
          <w:szCs w:val="22"/>
        </w:rPr>
      </w:pPr>
      <w:r w:rsidRPr="000F5EBD">
        <w:rPr>
          <w:b/>
          <w:bCs/>
          <w:sz w:val="22"/>
          <w:szCs w:val="22"/>
        </w:rPr>
        <w:t>Coacción (artículo 149 bis del Código Penal):</w:t>
      </w:r>
      <w:r w:rsidRPr="000F5EBD">
        <w:rPr>
          <w:sz w:val="22"/>
          <w:szCs w:val="22"/>
        </w:rPr>
        <w:t> Amenazar con sanciones basadas en normativa inválida.</w:t>
      </w:r>
    </w:p>
    <w:p w14:paraId="446163A5" w14:textId="271EDB82" w:rsidR="0034266F" w:rsidRPr="000F5EBD" w:rsidRDefault="0034266F" w:rsidP="0034266F">
      <w:pPr>
        <w:numPr>
          <w:ilvl w:val="0"/>
          <w:numId w:val="3"/>
        </w:numPr>
        <w:rPr>
          <w:sz w:val="22"/>
          <w:szCs w:val="22"/>
        </w:rPr>
      </w:pPr>
      <w:r w:rsidRPr="000F5EBD">
        <w:rPr>
          <w:b/>
          <w:bCs/>
          <w:sz w:val="22"/>
          <w:szCs w:val="22"/>
        </w:rPr>
        <w:t>Falsedad ideológica (artículo 293 del Código Penal):</w:t>
      </w:r>
      <w:r w:rsidRPr="000F5EBD">
        <w:rPr>
          <w:sz w:val="22"/>
          <w:szCs w:val="22"/>
        </w:rPr>
        <w:t> Justificar actos administrativos o judiciales en base a leyes derogadas o inconstitucionales.</w:t>
      </w:r>
      <w:r w:rsidR="000F5EBD" w:rsidRPr="000F5EBD">
        <w:rPr>
          <w:sz w:val="22"/>
          <w:szCs w:val="22"/>
        </w:rPr>
        <w:br/>
      </w:r>
    </w:p>
    <w:p w14:paraId="67388229" w14:textId="77777777" w:rsidR="0034266F" w:rsidRPr="000F5EBD" w:rsidRDefault="0034266F" w:rsidP="0034266F">
      <w:pPr>
        <w:rPr>
          <w:b/>
          <w:bCs/>
          <w:sz w:val="22"/>
          <w:szCs w:val="22"/>
        </w:rPr>
      </w:pPr>
      <w:r w:rsidRPr="000F5EBD">
        <w:rPr>
          <w:b/>
          <w:bCs/>
          <w:sz w:val="22"/>
          <w:szCs w:val="22"/>
        </w:rPr>
        <w:t>IV. Competencia Legal de la Corte Internacional de Justicia Real de la Gente</w:t>
      </w:r>
    </w:p>
    <w:p w14:paraId="7DE65B32" w14:textId="77777777" w:rsidR="0034266F" w:rsidRPr="000F5EBD" w:rsidRDefault="0034266F" w:rsidP="0034266F">
      <w:pPr>
        <w:rPr>
          <w:sz w:val="22"/>
          <w:szCs w:val="22"/>
        </w:rPr>
      </w:pPr>
      <w:r w:rsidRPr="000F5EBD">
        <w:rPr>
          <w:sz w:val="22"/>
          <w:szCs w:val="22"/>
        </w:rPr>
        <w:t xml:space="preserve">La </w:t>
      </w:r>
      <w:r w:rsidRPr="000F5EBD">
        <w:rPr>
          <w:b/>
          <w:bCs/>
          <w:sz w:val="22"/>
          <w:szCs w:val="22"/>
        </w:rPr>
        <w:t>Corte Internacional de Justicia Real de la Gente</w:t>
      </w:r>
      <w:r w:rsidRPr="000F5EBD">
        <w:rPr>
          <w:sz w:val="22"/>
          <w:szCs w:val="22"/>
        </w:rPr>
        <w:t xml:space="preserve"> ejerce su competencia con base en el </w:t>
      </w:r>
      <w:r w:rsidRPr="000F5EBD">
        <w:rPr>
          <w:b/>
          <w:bCs/>
          <w:sz w:val="22"/>
          <w:szCs w:val="22"/>
        </w:rPr>
        <w:t>artículo 75, inciso 22 de la Constitución Nacional Argentina</w:t>
      </w:r>
      <w:r w:rsidRPr="000F5EBD">
        <w:rPr>
          <w:sz w:val="22"/>
          <w:szCs w:val="22"/>
        </w:rPr>
        <w:t xml:space="preserve">, el cual establece que los tratados internacionales y los concordatos tienen </w:t>
      </w:r>
      <w:r w:rsidRPr="000F5EBD">
        <w:rPr>
          <w:b/>
          <w:bCs/>
          <w:sz w:val="22"/>
          <w:szCs w:val="22"/>
        </w:rPr>
        <w:t>jerarquía superior a las leyes internas de la Nación</w:t>
      </w:r>
      <w:r w:rsidRPr="000F5EBD">
        <w:rPr>
          <w:sz w:val="22"/>
          <w:szCs w:val="22"/>
        </w:rPr>
        <w:t>, siempre que sean aprobados por el Congreso con una mayoría especial.</w:t>
      </w:r>
    </w:p>
    <w:p w14:paraId="09459A7C" w14:textId="77777777" w:rsidR="0034266F" w:rsidRPr="000F5EBD" w:rsidRDefault="0034266F" w:rsidP="0034266F">
      <w:pPr>
        <w:rPr>
          <w:sz w:val="22"/>
          <w:szCs w:val="22"/>
        </w:rPr>
      </w:pPr>
      <w:r w:rsidRPr="000F5EBD">
        <w:rPr>
          <w:sz w:val="22"/>
          <w:szCs w:val="22"/>
        </w:rPr>
        <w:t>Entre los tratados internacionales con jerarquía constitucional, se encuentran:</w:t>
      </w:r>
    </w:p>
    <w:p w14:paraId="4E442A56" w14:textId="77777777" w:rsidR="0034266F" w:rsidRPr="000F5EBD" w:rsidRDefault="0034266F" w:rsidP="0034266F">
      <w:pPr>
        <w:numPr>
          <w:ilvl w:val="0"/>
          <w:numId w:val="4"/>
        </w:numPr>
        <w:rPr>
          <w:sz w:val="22"/>
          <w:szCs w:val="22"/>
        </w:rPr>
      </w:pPr>
      <w:r w:rsidRPr="000F5EBD">
        <w:rPr>
          <w:sz w:val="22"/>
          <w:szCs w:val="22"/>
        </w:rPr>
        <w:t>La </w:t>
      </w:r>
      <w:r w:rsidRPr="000F5EBD">
        <w:rPr>
          <w:b/>
          <w:bCs/>
          <w:sz w:val="22"/>
          <w:szCs w:val="22"/>
        </w:rPr>
        <w:t>Convención Americana sobre Derechos Humanos</w:t>
      </w:r>
      <w:r w:rsidRPr="000F5EBD">
        <w:rPr>
          <w:sz w:val="22"/>
          <w:szCs w:val="22"/>
        </w:rPr>
        <w:t> (Pacto de San José de Costa Rica).</w:t>
      </w:r>
    </w:p>
    <w:p w14:paraId="2819144A" w14:textId="77777777" w:rsidR="0034266F" w:rsidRPr="000F5EBD" w:rsidRDefault="0034266F" w:rsidP="0034266F">
      <w:pPr>
        <w:numPr>
          <w:ilvl w:val="0"/>
          <w:numId w:val="4"/>
        </w:numPr>
        <w:rPr>
          <w:sz w:val="22"/>
          <w:szCs w:val="22"/>
        </w:rPr>
      </w:pPr>
      <w:r w:rsidRPr="000F5EBD">
        <w:rPr>
          <w:sz w:val="22"/>
          <w:szCs w:val="22"/>
        </w:rPr>
        <w:t>El </w:t>
      </w:r>
      <w:r w:rsidRPr="000F5EBD">
        <w:rPr>
          <w:b/>
          <w:bCs/>
          <w:sz w:val="22"/>
          <w:szCs w:val="22"/>
        </w:rPr>
        <w:t>Pacto Internacional de Derechos Civiles y Políticos</w:t>
      </w:r>
      <w:r w:rsidRPr="000F5EBD">
        <w:rPr>
          <w:sz w:val="22"/>
          <w:szCs w:val="22"/>
        </w:rPr>
        <w:t>.</w:t>
      </w:r>
    </w:p>
    <w:p w14:paraId="652C15B3" w14:textId="77777777" w:rsidR="0034266F" w:rsidRPr="000F5EBD" w:rsidRDefault="0034266F" w:rsidP="0034266F">
      <w:pPr>
        <w:numPr>
          <w:ilvl w:val="0"/>
          <w:numId w:val="4"/>
        </w:numPr>
        <w:rPr>
          <w:sz w:val="22"/>
          <w:szCs w:val="22"/>
        </w:rPr>
      </w:pPr>
      <w:r w:rsidRPr="000F5EBD">
        <w:rPr>
          <w:sz w:val="22"/>
          <w:szCs w:val="22"/>
        </w:rPr>
        <w:t>El </w:t>
      </w:r>
      <w:r w:rsidRPr="000F5EBD">
        <w:rPr>
          <w:b/>
          <w:bCs/>
          <w:sz w:val="22"/>
          <w:szCs w:val="22"/>
        </w:rPr>
        <w:t>Pacto Internacional de Derechos Económicos, Sociales y Culturales</w:t>
      </w:r>
      <w:r w:rsidRPr="000F5EBD">
        <w:rPr>
          <w:sz w:val="22"/>
          <w:szCs w:val="22"/>
        </w:rPr>
        <w:t>.</w:t>
      </w:r>
    </w:p>
    <w:p w14:paraId="6749646B" w14:textId="77777777" w:rsidR="0034266F" w:rsidRPr="000F5EBD" w:rsidRDefault="0034266F" w:rsidP="0034266F">
      <w:pPr>
        <w:numPr>
          <w:ilvl w:val="0"/>
          <w:numId w:val="4"/>
        </w:numPr>
        <w:rPr>
          <w:sz w:val="22"/>
          <w:szCs w:val="22"/>
        </w:rPr>
      </w:pPr>
      <w:r w:rsidRPr="000F5EBD">
        <w:rPr>
          <w:sz w:val="22"/>
          <w:szCs w:val="22"/>
        </w:rPr>
        <w:t>La </w:t>
      </w:r>
      <w:r w:rsidRPr="000F5EBD">
        <w:rPr>
          <w:b/>
          <w:bCs/>
          <w:sz w:val="22"/>
          <w:szCs w:val="22"/>
        </w:rPr>
        <w:t>Convención sobre los Derechos del Niño</w:t>
      </w:r>
      <w:r w:rsidRPr="000F5EBD">
        <w:rPr>
          <w:sz w:val="22"/>
          <w:szCs w:val="22"/>
        </w:rPr>
        <w:t>, entre otros.</w:t>
      </w:r>
    </w:p>
    <w:p w14:paraId="244C1745" w14:textId="454EA2CB" w:rsidR="0034266F" w:rsidRPr="000F5EBD" w:rsidRDefault="0034266F" w:rsidP="0034266F">
      <w:pPr>
        <w:rPr>
          <w:sz w:val="22"/>
          <w:szCs w:val="22"/>
        </w:rPr>
      </w:pPr>
      <w:r w:rsidRPr="000F5EBD">
        <w:rPr>
          <w:sz w:val="22"/>
          <w:szCs w:val="22"/>
        </w:rPr>
        <w:t xml:space="preserve">Estos tratados, al tener jerarquía superior a las leyes internas, constituyen la </w:t>
      </w:r>
      <w:r w:rsidRPr="000F5EBD">
        <w:rPr>
          <w:b/>
          <w:bCs/>
          <w:sz w:val="22"/>
          <w:szCs w:val="22"/>
        </w:rPr>
        <w:t>base del derecho internacional</w:t>
      </w:r>
      <w:r w:rsidRPr="000F5EBD">
        <w:rPr>
          <w:sz w:val="22"/>
          <w:szCs w:val="22"/>
        </w:rPr>
        <w:t xml:space="preserve"> y son de </w:t>
      </w:r>
      <w:r w:rsidRPr="000F5EBD">
        <w:rPr>
          <w:b/>
          <w:bCs/>
          <w:sz w:val="22"/>
          <w:szCs w:val="22"/>
        </w:rPr>
        <w:t>cumplimiento obligatorio para todas las autoridades nacionales, provinciales y municipales,</w:t>
      </w:r>
      <w:r w:rsidRPr="000F5EBD">
        <w:rPr>
          <w:sz w:val="22"/>
          <w:szCs w:val="22"/>
        </w:rPr>
        <w:t xml:space="preserve"> quienes deben respetar y garantizar los derechos fundamentales consagrados en ellos.</w:t>
      </w:r>
    </w:p>
    <w:p w14:paraId="375E6D02" w14:textId="74C82175" w:rsidR="0034266F" w:rsidRPr="000F5EBD" w:rsidRDefault="0034266F" w:rsidP="0034266F">
      <w:pPr>
        <w:rPr>
          <w:sz w:val="22"/>
          <w:szCs w:val="22"/>
        </w:rPr>
      </w:pPr>
      <w:r w:rsidRPr="000F5EBD">
        <w:rPr>
          <w:b/>
          <w:bCs/>
          <w:sz w:val="22"/>
          <w:szCs w:val="22"/>
        </w:rPr>
        <w:lastRenderedPageBreak/>
        <w:br/>
      </w:r>
      <w:r w:rsidRPr="000F5EBD">
        <w:rPr>
          <w:sz w:val="22"/>
          <w:szCs w:val="22"/>
        </w:rPr>
        <w:t>La Corte Internacional de Justicia Real de la Gente reitera su compromiso con la defensa de los derechos fundamentales de la infancia y de las familias en todo el territorio. En este sentido, insta a la Municipalidad de Luján de Cuyo y a su Departamento de Salud a actuar con la máxima diligencia para garantizar el respeto a la Constitución Nacional, los tratados internacionales de derechos humanos y las leyes vigentes, absteniéndose de aplicar normativas inválidas o de emitir comunicaciones que vulneren los derechos fundamentales de los ciudadanos.</w:t>
      </w:r>
    </w:p>
    <w:p w14:paraId="3C88BE5E" w14:textId="77777777" w:rsidR="0034266F" w:rsidRPr="000F5EBD" w:rsidRDefault="0034266F" w:rsidP="0034266F">
      <w:pPr>
        <w:rPr>
          <w:sz w:val="22"/>
          <w:szCs w:val="22"/>
        </w:rPr>
      </w:pPr>
      <w:r w:rsidRPr="000F5EBD">
        <w:rPr>
          <w:sz w:val="22"/>
          <w:szCs w:val="22"/>
        </w:rPr>
        <w:t>Sin otro particular, quedo a disposición para cualquier consulta o instancia de diálogo que permita garantizar el pleno respeto de los derechos humanos en el ámbito educativo y sanitario.</w:t>
      </w:r>
    </w:p>
    <w:p w14:paraId="64FBF16A" w14:textId="77777777" w:rsidR="0034266F" w:rsidRPr="000F5EBD" w:rsidRDefault="0034266F" w:rsidP="0034266F">
      <w:pPr>
        <w:rPr>
          <w:sz w:val="22"/>
          <w:szCs w:val="22"/>
        </w:rPr>
      </w:pPr>
      <w:r w:rsidRPr="000F5EBD">
        <w:rPr>
          <w:sz w:val="22"/>
          <w:szCs w:val="22"/>
        </w:rPr>
        <w:t>Atentamente,</w:t>
      </w:r>
    </w:p>
    <w:p w14:paraId="754728AE" w14:textId="77777777" w:rsidR="0034266F" w:rsidRPr="000F5EBD" w:rsidRDefault="0034266F" w:rsidP="0034266F">
      <w:pPr>
        <w:rPr>
          <w:sz w:val="22"/>
          <w:szCs w:val="22"/>
        </w:rPr>
      </w:pPr>
    </w:p>
    <w:p w14:paraId="39E32AB4" w14:textId="77777777" w:rsidR="0034266F" w:rsidRPr="000F5EBD" w:rsidRDefault="0034266F" w:rsidP="0034266F">
      <w:pPr>
        <w:rPr>
          <w:sz w:val="22"/>
          <w:szCs w:val="22"/>
        </w:rPr>
      </w:pPr>
    </w:p>
    <w:p w14:paraId="5E380CE4" w14:textId="77777777" w:rsidR="0034266F" w:rsidRPr="000F5EBD" w:rsidRDefault="0034266F" w:rsidP="0034266F">
      <w:pPr>
        <w:rPr>
          <w:sz w:val="22"/>
          <w:szCs w:val="22"/>
        </w:rPr>
      </w:pPr>
    </w:p>
    <w:p w14:paraId="49C67735" w14:textId="77777777" w:rsidR="0034266F" w:rsidRPr="000F5EBD" w:rsidRDefault="0034266F" w:rsidP="0034266F">
      <w:pPr>
        <w:rPr>
          <w:sz w:val="22"/>
          <w:szCs w:val="22"/>
        </w:rPr>
      </w:pPr>
    </w:p>
    <w:p w14:paraId="30696479" w14:textId="77777777" w:rsidR="0034266F" w:rsidRPr="000F5EBD" w:rsidRDefault="0034266F" w:rsidP="0034266F">
      <w:pPr>
        <w:jc w:val="right"/>
        <w:rPr>
          <w:sz w:val="22"/>
          <w:szCs w:val="22"/>
        </w:rPr>
      </w:pPr>
      <w:r w:rsidRPr="000F5EBD">
        <w:rPr>
          <w:b/>
          <w:bCs/>
          <w:sz w:val="22"/>
          <w:szCs w:val="22"/>
        </w:rPr>
        <w:t>Dra. Patricia Funes</w:t>
      </w:r>
      <w:r w:rsidRPr="000F5EBD">
        <w:rPr>
          <w:sz w:val="22"/>
          <w:szCs w:val="22"/>
        </w:rPr>
        <w:br/>
      </w:r>
      <w:r w:rsidRPr="000F5EBD">
        <w:rPr>
          <w:b/>
          <w:bCs/>
          <w:sz w:val="22"/>
          <w:szCs w:val="22"/>
        </w:rPr>
        <w:t>Juez Regente de la Corte Internacional de Justicia Real de la Gente</w:t>
      </w:r>
      <w:r w:rsidRPr="000F5EBD">
        <w:rPr>
          <w:sz w:val="22"/>
          <w:szCs w:val="22"/>
        </w:rPr>
        <w:br/>
      </w:r>
      <w:r w:rsidRPr="000F5EBD">
        <w:rPr>
          <w:b/>
          <w:bCs/>
          <w:sz w:val="22"/>
          <w:szCs w:val="22"/>
        </w:rPr>
        <w:t>Domicilio:</w:t>
      </w:r>
      <w:r w:rsidRPr="000F5EBD">
        <w:rPr>
          <w:sz w:val="22"/>
          <w:szCs w:val="22"/>
        </w:rPr>
        <w:t xml:space="preserve"> Bandera de los Andes 1445 – San Rafael, Mendoza, Argentina</w:t>
      </w:r>
      <w:r w:rsidRPr="000F5EBD">
        <w:rPr>
          <w:sz w:val="22"/>
          <w:szCs w:val="22"/>
        </w:rPr>
        <w:br/>
      </w:r>
      <w:r w:rsidRPr="000F5EBD">
        <w:rPr>
          <w:b/>
          <w:bCs/>
          <w:sz w:val="22"/>
          <w:szCs w:val="22"/>
        </w:rPr>
        <w:t>Teléfono/Email:</w:t>
      </w:r>
      <w:r w:rsidRPr="000F5EBD">
        <w:rPr>
          <w:sz w:val="22"/>
          <w:szCs w:val="22"/>
        </w:rPr>
        <w:t xml:space="preserve"> +54 9 260 4349155 / </w:t>
      </w:r>
      <w:hyperlink r:id="rId6" w:tgtFrame="_blank" w:history="1">
        <w:r w:rsidRPr="000F5EBD">
          <w:rPr>
            <w:rStyle w:val="Hipervnculo"/>
            <w:sz w:val="22"/>
            <w:szCs w:val="22"/>
          </w:rPr>
          <w:t>contacto@cijrg.com</w:t>
        </w:r>
      </w:hyperlink>
    </w:p>
    <w:p w14:paraId="2D19E4AD" w14:textId="77777777" w:rsidR="00DA29C0" w:rsidRDefault="00DA29C0"/>
    <w:sectPr w:rsidR="00DA29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164E"/>
    <w:multiLevelType w:val="multilevel"/>
    <w:tmpl w:val="D4AE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3D2002"/>
    <w:multiLevelType w:val="multilevel"/>
    <w:tmpl w:val="48B0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D86DF8"/>
    <w:multiLevelType w:val="multilevel"/>
    <w:tmpl w:val="4736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A019C"/>
    <w:multiLevelType w:val="multilevel"/>
    <w:tmpl w:val="FC40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E95A12"/>
    <w:multiLevelType w:val="multilevel"/>
    <w:tmpl w:val="4B707F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84662">
    <w:abstractNumId w:val="4"/>
  </w:num>
  <w:num w:numId="2" w16cid:durableId="799569702">
    <w:abstractNumId w:val="2"/>
  </w:num>
  <w:num w:numId="3" w16cid:durableId="1379473723">
    <w:abstractNumId w:val="3"/>
  </w:num>
  <w:num w:numId="4" w16cid:durableId="474684461">
    <w:abstractNumId w:val="1"/>
  </w:num>
  <w:num w:numId="5" w16cid:durableId="179413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6F"/>
    <w:rsid w:val="000F5EBD"/>
    <w:rsid w:val="002229C7"/>
    <w:rsid w:val="00296004"/>
    <w:rsid w:val="0034266F"/>
    <w:rsid w:val="00800A0C"/>
    <w:rsid w:val="00CC3984"/>
    <w:rsid w:val="00DA29C0"/>
    <w:rsid w:val="00FB08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8DF6"/>
  <w15:chartTrackingRefBased/>
  <w15:docId w15:val="{CE4F72E3-3362-467C-B3BC-7024F106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2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2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26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26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26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26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26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26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26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26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26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26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26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26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26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26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26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266F"/>
    <w:rPr>
      <w:rFonts w:eastAsiaTheme="majorEastAsia" w:cstheme="majorBidi"/>
      <w:color w:val="272727" w:themeColor="text1" w:themeTint="D8"/>
    </w:rPr>
  </w:style>
  <w:style w:type="paragraph" w:styleId="Ttulo">
    <w:name w:val="Title"/>
    <w:basedOn w:val="Normal"/>
    <w:next w:val="Normal"/>
    <w:link w:val="TtuloCar"/>
    <w:uiPriority w:val="10"/>
    <w:qFormat/>
    <w:rsid w:val="00342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26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26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26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266F"/>
    <w:pPr>
      <w:spacing w:before="160"/>
      <w:jc w:val="center"/>
    </w:pPr>
    <w:rPr>
      <w:i/>
      <w:iCs/>
      <w:color w:val="404040" w:themeColor="text1" w:themeTint="BF"/>
    </w:rPr>
  </w:style>
  <w:style w:type="character" w:customStyle="1" w:styleId="CitaCar">
    <w:name w:val="Cita Car"/>
    <w:basedOn w:val="Fuentedeprrafopredeter"/>
    <w:link w:val="Cita"/>
    <w:uiPriority w:val="29"/>
    <w:rsid w:val="0034266F"/>
    <w:rPr>
      <w:i/>
      <w:iCs/>
      <w:color w:val="404040" w:themeColor="text1" w:themeTint="BF"/>
    </w:rPr>
  </w:style>
  <w:style w:type="paragraph" w:styleId="Prrafodelista">
    <w:name w:val="List Paragraph"/>
    <w:basedOn w:val="Normal"/>
    <w:uiPriority w:val="34"/>
    <w:qFormat/>
    <w:rsid w:val="0034266F"/>
    <w:pPr>
      <w:ind w:left="720"/>
      <w:contextualSpacing/>
    </w:pPr>
  </w:style>
  <w:style w:type="character" w:styleId="nfasisintenso">
    <w:name w:val="Intense Emphasis"/>
    <w:basedOn w:val="Fuentedeprrafopredeter"/>
    <w:uiPriority w:val="21"/>
    <w:qFormat/>
    <w:rsid w:val="0034266F"/>
    <w:rPr>
      <w:i/>
      <w:iCs/>
      <w:color w:val="0F4761" w:themeColor="accent1" w:themeShade="BF"/>
    </w:rPr>
  </w:style>
  <w:style w:type="paragraph" w:styleId="Citadestacada">
    <w:name w:val="Intense Quote"/>
    <w:basedOn w:val="Normal"/>
    <w:next w:val="Normal"/>
    <w:link w:val="CitadestacadaCar"/>
    <w:uiPriority w:val="30"/>
    <w:qFormat/>
    <w:rsid w:val="00342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266F"/>
    <w:rPr>
      <w:i/>
      <w:iCs/>
      <w:color w:val="0F4761" w:themeColor="accent1" w:themeShade="BF"/>
    </w:rPr>
  </w:style>
  <w:style w:type="character" w:styleId="Referenciaintensa">
    <w:name w:val="Intense Reference"/>
    <w:basedOn w:val="Fuentedeprrafopredeter"/>
    <w:uiPriority w:val="32"/>
    <w:qFormat/>
    <w:rsid w:val="0034266F"/>
    <w:rPr>
      <w:b/>
      <w:bCs/>
      <w:smallCaps/>
      <w:color w:val="0F4761" w:themeColor="accent1" w:themeShade="BF"/>
      <w:spacing w:val="5"/>
    </w:rPr>
  </w:style>
  <w:style w:type="character" w:styleId="Hipervnculo">
    <w:name w:val="Hyperlink"/>
    <w:basedOn w:val="Fuentedeprrafopredeter"/>
    <w:uiPriority w:val="99"/>
    <w:unhideWhenUsed/>
    <w:rsid w:val="0034266F"/>
    <w:rPr>
      <w:color w:val="467886" w:themeColor="hyperlink"/>
      <w:u w:val="single"/>
    </w:rPr>
  </w:style>
  <w:style w:type="character" w:styleId="Mencinsinresolver">
    <w:name w:val="Unresolved Mention"/>
    <w:basedOn w:val="Fuentedeprrafopredeter"/>
    <w:uiPriority w:val="99"/>
    <w:semiHidden/>
    <w:unhideWhenUsed/>
    <w:rsid w:val="00342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o@cijrg.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1646</Words>
  <Characters>9058</Characters>
  <Application>Microsoft Office Word</Application>
  <DocSecurity>0</DocSecurity>
  <Lines>75</Lines>
  <Paragraphs>21</Paragraphs>
  <ScaleCrop>false</ScaleCrop>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Funes</dc:creator>
  <cp:keywords/>
  <dc:description/>
  <cp:lastModifiedBy>Patricia Funes</cp:lastModifiedBy>
  <cp:revision>5</cp:revision>
  <dcterms:created xsi:type="dcterms:W3CDTF">2026-05-12T22:39:00Z</dcterms:created>
  <dcterms:modified xsi:type="dcterms:W3CDTF">2026-05-13T00:22:00Z</dcterms:modified>
</cp:coreProperties>
</file>